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ind w:left="0" w:firstLine="0"/>
        <w:jc w:val="center"/>
        <w:rPr>
          <w:rFonts w:ascii="Times New Roman" w:cs="Times New Roman" w:eastAsia="Times New Roman" w:hAnsi="Times New Roman"/>
          <w:b w:val="1"/>
          <w:bCs w:val="1"/>
          <w:sz w:val="24"/>
          <w:szCs w:val="24"/>
        </w:rPr>
      </w:pPr>
      <w:bookmarkStart w:colFirst="0" w:colLast="0" w:name="_a6qnkcsahkqs" w:id="0"/>
      <w:bookmarkEnd w:id="0"/>
      <w:r w:rsidDel="00000000" w:rsidR="00000000" w:rsidRPr="00000000">
        <w:rPr>
          <w:rFonts w:ascii="Times New Roman" w:cs="Times New Roman" w:eastAsia="Times New Roman" w:hAnsi="Times New Roman"/>
          <w:b w:val="1"/>
          <w:bCs w:val="1"/>
          <w:sz w:val="24"/>
          <w:szCs w:val="24"/>
          <w:rtl w:val="0"/>
        </w:rPr>
        <w:t xml:space="preserve">Starter Homes Model </w:t>
      </w:r>
      <w:r w:rsidDel="00000000" w:rsidR="00000000" w:rsidRPr="00000000">
        <w:rPr>
          <w:rFonts w:ascii="Times New Roman" w:cs="Times New Roman" w:eastAsia="Times New Roman" w:hAnsi="Times New Roman"/>
          <w:b w:val="1"/>
          <w:bCs w:val="1"/>
          <w:sz w:val="24"/>
          <w:szCs w:val="24"/>
          <w:rtl w:val="0"/>
        </w:rPr>
        <w:t xml:space="preserve">Legislation</w:t>
      </w:r>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x5qhi26lxr44" w:id="1"/>
      <w:bookmarkEnd w:id="1"/>
      <w:r w:rsidDel="00000000" w:rsidR="00000000" w:rsidRPr="00000000">
        <w:rPr>
          <w:rFonts w:ascii="Times New Roman" w:cs="Times New Roman" w:eastAsia="Times New Roman" w:hAnsi="Times New Roman"/>
          <w:b w:val="1"/>
          <w:bCs w:val="1"/>
          <w:color w:val="000000"/>
          <w:sz w:val="24"/>
          <w:szCs w:val="24"/>
          <w:rtl w:val="0"/>
        </w:rPr>
        <w:t xml:space="preserve">Section 1. Title</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 shall be known and may be cited as the "Starter Homes Act".</w: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plgufdlu8wr" w:id="2"/>
      <w:bookmarkEnd w:id="2"/>
      <w:r w:rsidDel="00000000" w:rsidR="00000000" w:rsidRPr="00000000">
        <w:rPr>
          <w:rFonts w:ascii="Times New Roman" w:cs="Times New Roman" w:eastAsia="Times New Roman" w:hAnsi="Times New Roman"/>
          <w:b w:val="1"/>
          <w:bCs w:val="1"/>
          <w:color w:val="000000"/>
          <w:sz w:val="24"/>
          <w:szCs w:val="24"/>
          <w:rtl w:val="0"/>
        </w:rPr>
        <w:t xml:space="preserve">Section 2. Purpose and Intent</w:t>
      </w:r>
    </w:p>
    <w:p w:rsidR="00000000" w:rsidDel="00000000" w:rsidP="00000000" w:rsidRDefault="00000000" w:rsidRPr="00000000" w14:paraId="00000006">
      <w:pPr>
        <w:pStyle w:val="Heading3"/>
        <w:keepNext w:val="0"/>
        <w:keepLines w:val="0"/>
        <w:numPr>
          <w:ilvl w:val="0"/>
          <w:numId w:val="8"/>
        </w:numPr>
        <w:spacing w:after="0" w:afterAutospacing="0" w:before="280" w:lineRule="auto"/>
        <w:ind w:left="720" w:hanging="360"/>
        <w:rPr>
          <w:rFonts w:ascii="Times New Roman" w:cs="Times New Roman" w:eastAsia="Times New Roman" w:hAnsi="Times New Roman"/>
          <w:color w:val="434343"/>
          <w:sz w:val="24"/>
          <w:szCs w:val="24"/>
        </w:rPr>
      </w:pPr>
      <w:bookmarkStart w:colFirst="0" w:colLast="0" w:name="_nxqrram6i3j4" w:id="3"/>
      <w:bookmarkEnd w:id="3"/>
      <w:r w:rsidDel="00000000" w:rsidR="00000000" w:rsidRPr="00000000">
        <w:rPr>
          <w:rFonts w:ascii="Times New Roman" w:cs="Times New Roman" w:eastAsia="Times New Roman" w:hAnsi="Times New Roman"/>
          <w:color w:val="000000"/>
          <w:sz w:val="24"/>
          <w:szCs w:val="24"/>
          <w:rtl w:val="0"/>
        </w:rPr>
        <w:t xml:space="preserve">The purpose of this Act is to expand the supply of smaller, lower-cost residential lots and homes by limiting minimum lot size, lot dimension, density, setback, and related zoning requirements on land served by adequate water and sewer infrastructure.</w:t>
        <w:br w:type="textWrapping"/>
      </w:r>
    </w:p>
    <w:p w:rsidR="00000000" w:rsidDel="00000000" w:rsidP="00000000" w:rsidRDefault="00000000" w:rsidRPr="00000000" w14:paraId="00000007">
      <w:pPr>
        <w:pStyle w:val="Heading3"/>
        <w:keepNext w:val="0"/>
        <w:keepLines w:val="0"/>
        <w:numPr>
          <w:ilvl w:val="0"/>
          <w:numId w:val="8"/>
        </w:numPr>
        <w:spacing w:before="0" w:beforeAutospacing="0" w:lineRule="auto"/>
        <w:ind w:left="720" w:hanging="360"/>
        <w:rPr>
          <w:rFonts w:ascii="Times New Roman" w:cs="Times New Roman" w:eastAsia="Times New Roman" w:hAnsi="Times New Roman"/>
          <w:color w:val="434343"/>
          <w:sz w:val="24"/>
          <w:szCs w:val="24"/>
        </w:rPr>
      </w:pPr>
      <w:bookmarkStart w:colFirst="0" w:colLast="0" w:name="_e6bj11nt5lor" w:id="4"/>
      <w:bookmarkEnd w:id="4"/>
      <w:r w:rsidDel="00000000" w:rsidR="00000000" w:rsidRPr="00000000">
        <w:rPr>
          <w:rFonts w:ascii="Times New Roman" w:cs="Times New Roman" w:eastAsia="Times New Roman" w:hAnsi="Times New Roman"/>
          <w:color w:val="000000"/>
          <w:sz w:val="24"/>
          <w:szCs w:val="24"/>
          <w:rtl w:val="0"/>
        </w:rPr>
        <w:t xml:space="preserve">This Act is intended to ensure that lots authorized by its standards can be created, developed, and redeveloped for residential use without being made impracticable by conflicting local requirements.</w:t>
      </w:r>
    </w:p>
    <w:p w:rsidR="00000000" w:rsidDel="00000000" w:rsidP="00000000" w:rsidRDefault="00000000" w:rsidRPr="00000000" w14:paraId="00000008">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oznw3fv47ulz" w:id="5"/>
      <w:bookmarkEnd w:id="5"/>
      <w:r w:rsidDel="00000000" w:rsidR="00000000" w:rsidRPr="00000000">
        <w:rPr>
          <w:rFonts w:ascii="Times New Roman" w:cs="Times New Roman" w:eastAsia="Times New Roman" w:hAnsi="Times New Roman"/>
          <w:b w:val="1"/>
          <w:bCs w:val="1"/>
          <w:color w:val="000000"/>
          <w:sz w:val="24"/>
          <w:szCs w:val="24"/>
          <w:rtl w:val="0"/>
        </w:rPr>
        <w:t xml:space="preserve">Section 3. Definitions</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purposes of this Act:</w:t>
        <w:br w:type="textWrapping"/>
      </w:r>
    </w:p>
    <w:p w:rsidR="00000000" w:rsidDel="00000000" w:rsidP="00000000" w:rsidRDefault="00000000" w:rsidRPr="00000000" w14:paraId="0000000A">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“Generally Applicable” means a requirement that is not tailored to, triggered by, or imposed uniquely on a Qualifying Project, a Serviced Lot, or residential development relying on this Act, and that is:</w:t>
      </w:r>
    </w:p>
    <w:p w:rsidR="00000000" w:rsidDel="00000000" w:rsidP="00000000" w:rsidRDefault="00000000" w:rsidRPr="00000000" w14:paraId="0000000B">
      <w:pPr>
        <w:numPr>
          <w:ilvl w:val="1"/>
          <w:numId w:val="7"/>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applicable to all residential development in the same zoning district;</w:t>
      </w:r>
    </w:p>
    <w:p w:rsidR="00000000" w:rsidDel="00000000" w:rsidP="00000000" w:rsidRDefault="00000000" w:rsidRPr="00000000" w14:paraId="0000000C">
      <w:pPr>
        <w:numPr>
          <w:ilvl w:val="1"/>
          <w:numId w:val="7"/>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applicable to all ministerial residential permit applications in the jurisdiction; or</w:t>
      </w:r>
    </w:p>
    <w:p w:rsidR="00000000" w:rsidDel="00000000" w:rsidP="00000000" w:rsidRDefault="00000000" w:rsidRPr="00000000" w14:paraId="0000000D">
      <w:pPr>
        <w:numPr>
          <w:ilvl w:val="1"/>
          <w:numId w:val="7"/>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applied uniformly to all new residential construction of a similar building type.</w:t>
      </w:r>
    </w:p>
    <w:p w:rsidR="00000000" w:rsidDel="00000000" w:rsidP="00000000" w:rsidRDefault="00000000" w:rsidRPr="00000000" w14:paraId="0000000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Except for a requirement mandated by binding state or federal law, a requirement shall not be considered Generally Applicable if it was adopted or materially amended within one year before the effective date of this Act, or after the effective date of this Act, for the purpose or effect of reducing the number of lots or dwelling units, development capacity, or feasible residential development authorized by this Act.</w:t>
      </w:r>
    </w:p>
    <w:p w:rsidR="00000000" w:rsidDel="00000000" w:rsidP="00000000" w:rsidRDefault="00000000" w:rsidRPr="00000000" w14:paraId="0000000F">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“Minimum Lot Size” means the smallest lot area required for the creation or residential development of a legal parcel under applicable zoning or subdivision law. </w:t>
      </w:r>
    </w:p>
    <w:p w:rsidR="00000000" w:rsidDel="00000000" w:rsidP="00000000" w:rsidRDefault="00000000" w:rsidRPr="00000000" w14:paraId="00000010">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Authority” means a city, county, city and county, town, village, parish, borough, or other local jurisdiction with authority to adopt or enforce land use, zoning, subdivision, design, or development standards or to approve a Qualifying Project under this Act.</w:t>
      </w:r>
      <w:r w:rsidDel="00000000" w:rsidR="00000000" w:rsidRPr="00000000">
        <w:rPr>
          <w:rtl w:val="0"/>
        </w:rPr>
      </w:r>
    </w:p>
    <w:p w:rsidR="00000000" w:rsidDel="00000000" w:rsidP="00000000" w:rsidRDefault="00000000" w:rsidRPr="00000000" w14:paraId="00000011">
      <w:pPr>
        <w:numPr>
          <w:ilvl w:val="0"/>
          <w:numId w:val="7"/>
        </w:numPr>
        <w:ind w:left="720" w:hanging="360"/>
        <w:rPr>
          <w:rFonts w:ascii="Times New Roman" w:cs="Times New Roman" w:eastAsia="Times New Roman" w:hAnsi="Times New Roman"/>
          <w:color w:val="0e0e0e"/>
          <w:sz w:val="24"/>
          <w:szCs w:val="24"/>
        </w:rPr>
      </w:pPr>
      <w:r w:rsidDel="00000000" w:rsidR="00000000" w:rsidRPr="00000000">
        <w:rPr>
          <w:rFonts w:ascii="Times New Roman" w:cs="Times New Roman" w:eastAsia="Times New Roman" w:hAnsi="Times New Roman"/>
          <w:color w:val="0e0e0e"/>
          <w:sz w:val="24"/>
          <w:szCs w:val="24"/>
          <w:rtl w:val="0"/>
        </w:rPr>
        <w:t xml:space="preserve">“Objective Standard” means a zoning, subdivision, design, parking, infrastructure, or development standard that:</w:t>
      </w:r>
    </w:p>
    <w:p w:rsidR="00000000" w:rsidDel="00000000" w:rsidP="00000000" w:rsidRDefault="00000000" w:rsidRPr="00000000" w14:paraId="00000012">
      <w:pPr>
        <w:numPr>
          <w:ilvl w:val="1"/>
          <w:numId w:val="7"/>
        </w:numPr>
        <w:ind w:left="1440" w:hanging="360"/>
        <w:rPr>
          <w:rFonts w:ascii="Times New Roman" w:cs="Times New Roman" w:eastAsia="Times New Roman" w:hAnsi="Times New Roman"/>
          <w:color w:val="0e0e0e"/>
          <w:sz w:val="24"/>
          <w:szCs w:val="24"/>
        </w:rPr>
      </w:pPr>
      <w:r w:rsidDel="00000000" w:rsidR="00000000" w:rsidRPr="00000000">
        <w:rPr>
          <w:rFonts w:ascii="Times New Roman" w:cs="Times New Roman" w:eastAsia="Times New Roman" w:hAnsi="Times New Roman"/>
          <w:color w:val="0e0e0e"/>
          <w:sz w:val="24"/>
          <w:szCs w:val="24"/>
          <w:rtl w:val="0"/>
        </w:rPr>
        <w:t xml:space="preserve">is uniformly verifiable by reference to an external and uniform benchmark or criterion; and</w:t>
      </w:r>
    </w:p>
    <w:p w:rsidR="00000000" w:rsidDel="00000000" w:rsidP="00000000" w:rsidRDefault="00000000" w:rsidRPr="00000000" w14:paraId="00000013">
      <w:pPr>
        <w:numPr>
          <w:ilvl w:val="1"/>
          <w:numId w:val="7"/>
        </w:numPr>
        <w:ind w:left="1440" w:hanging="360"/>
        <w:rPr>
          <w:rFonts w:ascii="Times New Roman" w:cs="Times New Roman" w:eastAsia="Times New Roman" w:hAnsi="Times New Roman"/>
          <w:color w:val="0e0e0e"/>
          <w:sz w:val="24"/>
          <w:szCs w:val="24"/>
        </w:rPr>
      </w:pPr>
      <w:r w:rsidDel="00000000" w:rsidR="00000000" w:rsidRPr="00000000">
        <w:rPr>
          <w:rFonts w:ascii="Times New Roman" w:cs="Times New Roman" w:eastAsia="Times New Roman" w:hAnsi="Times New Roman"/>
          <w:color w:val="0e0e0e"/>
          <w:sz w:val="24"/>
          <w:szCs w:val="24"/>
          <w:rtl w:val="0"/>
        </w:rPr>
        <w:t xml:space="preserve">does not depend on personal or subjective judgment by a public official. </w:t>
      </w:r>
    </w:p>
    <w:p w:rsidR="00000000" w:rsidDel="00000000" w:rsidP="00000000" w:rsidRDefault="00000000" w:rsidRPr="00000000" w14:paraId="00000014">
      <w:pPr>
        <w:numPr>
          <w:ilvl w:val="0"/>
          <w:numId w:val="7"/>
        </w:numPr>
        <w:ind w:left="720" w:hanging="360"/>
        <w:rPr>
          <w:rFonts w:ascii="Times New Roman" w:cs="Times New Roman" w:eastAsia="Times New Roman" w:hAnsi="Times New Roman"/>
          <w:color w:val="0e0e0e"/>
          <w:sz w:val="24"/>
          <w:szCs w:val="24"/>
        </w:rPr>
      </w:pPr>
      <w:r w:rsidDel="00000000" w:rsidR="00000000" w:rsidRPr="00000000">
        <w:rPr>
          <w:rFonts w:ascii="Times New Roman" w:cs="Times New Roman" w:eastAsia="Times New Roman" w:hAnsi="Times New Roman"/>
          <w:color w:val="0e0e0e"/>
          <w:sz w:val="24"/>
          <w:szCs w:val="24"/>
          <w:rtl w:val="0"/>
        </w:rPr>
        <w:t xml:space="preserve">“Qualifying Project” means an application for the creation, development, redevelopment, or residential use of one or more Serviced Lots that seeks approval under or relies on one or more of the standards or protections established by this Act.</w:t>
      </w:r>
    </w:p>
    <w:p w:rsidR="00000000" w:rsidDel="00000000" w:rsidP="00000000" w:rsidRDefault="00000000" w:rsidRPr="00000000" w14:paraId="00000015">
      <w:pPr>
        <w:numPr>
          <w:ilvl w:val="0"/>
          <w:numId w:val="7"/>
        </w:numPr>
        <w:ind w:left="720" w:hanging="360"/>
        <w:rPr>
          <w:rFonts w:ascii="Times New Roman" w:cs="Times New Roman" w:eastAsia="Times New Roman" w:hAnsi="Times New Roman"/>
          <w:color w:val="0e0e0e"/>
          <w:sz w:val="24"/>
          <w:szCs w:val="24"/>
        </w:rPr>
      </w:pPr>
      <w:r w:rsidDel="00000000" w:rsidR="00000000" w:rsidRPr="00000000">
        <w:rPr>
          <w:rFonts w:ascii="Times New Roman" w:cs="Times New Roman" w:eastAsia="Times New Roman" w:hAnsi="Times New Roman"/>
          <w:color w:val="0e0e0e"/>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“Setback” means the minimum required distance between a building or structure and a property line.</w:t>
      </w:r>
    </w:p>
    <w:p w:rsidR="00000000" w:rsidDel="00000000" w:rsidP="00000000" w:rsidRDefault="00000000" w:rsidRPr="00000000" w14:paraId="00000016">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“Lot Coverage” means the percentage of a lot’s total area occupied by buildings or structures. The term does not include driveways, walkways, patios, or other impervious surfaces unless expressly stated.</w:t>
      </w:r>
    </w:p>
    <w:p w:rsidR="00000000" w:rsidDel="00000000" w:rsidP="00000000" w:rsidRDefault="00000000" w:rsidRPr="00000000" w14:paraId="00000017">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Site” means the parcel or contiguous parcels included in a Qualifying Project before the creation of any new lot lines.</w:t>
      </w:r>
    </w:p>
    <w:p w:rsidR="00000000" w:rsidDel="00000000" w:rsidP="00000000" w:rsidRDefault="00000000" w:rsidRPr="00000000" w14:paraId="00000018">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“Serviced Lot” means an existing legal parcel, or a proposed parcel that would become a legal parcel upon approval, that is served by or capable of receiving adequate service from a public or community water system and wastewater system, or equivalent water and wastewater infrastructure.</w:t>
        <w:br w:type="textWrapping"/>
      </w:r>
    </w:p>
    <w:p w:rsidR="00000000" w:rsidDel="00000000" w:rsidP="00000000" w:rsidRDefault="00000000" w:rsidRPr="00000000" w14:paraId="0000001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4. Residential Lot Standards</w:t>
      </w:r>
    </w:p>
    <w:p w:rsidR="00000000" w:rsidDel="00000000" w:rsidP="00000000" w:rsidRDefault="00000000" w:rsidRPr="00000000" w14:paraId="0000001A">
      <w:pPr>
        <w:numPr>
          <w:ilvl w:val="0"/>
          <w:numId w:val="6"/>
        </w:numPr>
        <w:spacing w:after="0" w:afterAutospacing="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Local Authority may not adopt or enforce an ordinance, rule, standard, or other measure requiring a Minimum Lot Size exceeding 1,400 square feet for a Serviced Lot that is designated or permitted for residential use under applicable zoning, or proposed for residential use as part of a Qualifying Project.</w:t>
        <w:br w:type="textWrapping"/>
      </w:r>
      <w:r w:rsidDel="00000000" w:rsidR="00000000" w:rsidRPr="00000000">
        <w:rPr>
          <w:rtl w:val="0"/>
        </w:rPr>
      </w:r>
    </w:p>
    <w:p w:rsidR="00000000" w:rsidDel="00000000" w:rsidP="00000000" w:rsidRDefault="00000000" w:rsidRPr="00000000" w14:paraId="0000001B">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Local Authority may not require a Serviced Lot that is designated or permitted for residential use under applicable zoning, or proposed for residential use as part of a Qualifying Project, to be wider than 14 feet or deeper than 60 feet.</w:t>
        <w:br w:type="textWrapping"/>
      </w:r>
    </w:p>
    <w:p w:rsidR="00000000" w:rsidDel="00000000" w:rsidP="00000000" w:rsidRDefault="00000000" w:rsidRPr="00000000" w14:paraId="0000001C">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Local Authority regulates residential density on a Serviced Lot that is designated or permitted for residential use under applicable zoning, or proposed for residential use as part of a Qualifying Project, it may not impose a density limitation below 30 dwelling units per acre or otherwise prevent the development of at least one dwelling unit on each Serviced Lot that complies with this Act. Any greater density or residential capacity permitted under state or local law shall continue to apply.</w:t>
        <w:br w:type="textWrapping"/>
      </w:r>
    </w:p>
    <w:p w:rsidR="00000000" w:rsidDel="00000000" w:rsidP="00000000" w:rsidRDefault="00000000" w:rsidRPr="00000000" w14:paraId="0000001D">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in this Act independently authorizes residential use where residential use is otherwise prohibited by state or local law. However, when considering an application that proposes or seeks authorization for residential use, a Local Authority may not require lot sizes, lot dimensions, density, or other development standards more restrictive than those established by this Act.</w:t>
        <w:br w:type="textWrapping"/>
      </w:r>
    </w:p>
    <w:p w:rsidR="00000000" w:rsidDel="00000000" w:rsidP="00000000" w:rsidRDefault="00000000" w:rsidRPr="00000000" w14:paraId="0000001E">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protections of this Act apply both to:</w:t>
      </w:r>
    </w:p>
    <w:p w:rsidR="00000000" w:rsidDel="00000000" w:rsidP="00000000" w:rsidRDefault="00000000" w:rsidRPr="00000000" w14:paraId="0000001F">
      <w:pPr>
        <w:numPr>
          <w:ilvl w:val="1"/>
          <w:numId w:val="6"/>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creation of a Serviced Lot; and</w:t>
      </w:r>
    </w:p>
    <w:p w:rsidR="00000000" w:rsidDel="00000000" w:rsidP="00000000" w:rsidRDefault="00000000" w:rsidRPr="00000000" w14:paraId="00000020">
      <w:pPr>
        <w:numPr>
          <w:ilvl w:val="1"/>
          <w:numId w:val="6"/>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development or redevelopment of an existing or proposed Serviced Lot that relies on one or more of the standards or protections established by this Act.</w:t>
        <w:br w:type="textWrapping"/>
      </w:r>
    </w:p>
    <w:p w:rsidR="00000000" w:rsidDel="00000000" w:rsidP="00000000" w:rsidRDefault="00000000" w:rsidRPr="00000000" w14:paraId="00000021">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 does not apply to land where residential development is prohibited by binding state or federal law because the land is:</w:t>
      </w:r>
    </w:p>
    <w:p w:rsidR="00000000" w:rsidDel="00000000" w:rsidP="00000000" w:rsidRDefault="00000000" w:rsidRPr="00000000" w14:paraId="00000022">
      <w:pPr>
        <w:numPr>
          <w:ilvl w:val="1"/>
          <w:numId w:val="6"/>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protected wetland;</w:t>
      </w:r>
    </w:p>
    <w:p w:rsidR="00000000" w:rsidDel="00000000" w:rsidP="00000000" w:rsidRDefault="00000000" w:rsidRPr="00000000" w14:paraId="00000023">
      <w:pPr>
        <w:numPr>
          <w:ilvl w:val="1"/>
          <w:numId w:val="6"/>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located within a regulatory floodway;</w:t>
      </w:r>
    </w:p>
    <w:p w:rsidR="00000000" w:rsidDel="00000000" w:rsidP="00000000" w:rsidRDefault="00000000" w:rsidRPr="00000000" w14:paraId="00000024">
      <w:pPr>
        <w:numPr>
          <w:ilvl w:val="1"/>
          <w:numId w:val="6"/>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to a recorded conservation easement prohibiting residential development;</w:t>
      </w:r>
    </w:p>
    <w:p w:rsidR="00000000" w:rsidDel="00000000" w:rsidP="00000000" w:rsidRDefault="00000000" w:rsidRPr="00000000" w14:paraId="00000025">
      <w:pPr>
        <w:numPr>
          <w:ilvl w:val="1"/>
          <w:numId w:val="6"/>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located within a formally designated habitat-protection area in which residential development is prohibited; or</w:t>
      </w:r>
    </w:p>
    <w:p w:rsidR="00000000" w:rsidDel="00000000" w:rsidP="00000000" w:rsidRDefault="00000000" w:rsidRPr="00000000" w14:paraId="00000026">
      <w:pPr>
        <w:numPr>
          <w:ilvl w:val="1"/>
          <w:numId w:val="6"/>
        </w:numPr>
        <w:spacing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hazardous-waste or contaminated site that has not been cleared for residential use by the responsible state or federal agency.</w:t>
        <w:br w:type="textWrapping"/>
        <w:t xml:space="preserve">A Local Authority may not create or expand a local environmental designation for the purpose of avoiding the requirements of this Act.</w:t>
      </w:r>
    </w:p>
    <w:p w:rsidR="00000000" w:rsidDel="00000000" w:rsidP="00000000" w:rsidRDefault="00000000" w:rsidRPr="00000000" w14:paraId="00000027">
      <w:pPr>
        <w:spacing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5. Preemption</w:t>
      </w:r>
      <w:r w:rsidDel="00000000" w:rsidR="00000000" w:rsidRPr="00000000">
        <w:rPr>
          <w:rtl w:val="0"/>
        </w:rPr>
      </w:r>
    </w:p>
    <w:p w:rsidR="00000000" w:rsidDel="00000000" w:rsidP="00000000" w:rsidRDefault="00000000" w:rsidRPr="00000000" w14:paraId="00000028">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Notwithstanding any other law, a Local Authority shall not impose or apply any Objective Standard, including an objective zoning, subdivision, design, setback, lot coverage, frontage, landscaping, or open space standard, that would, individually or cumulatively, physically or financially preclude a Qualifying Project from using the lot size, lot dimensions, density, setbacks, or other development entitlements authorized by this Act.</w:t>
        <w:br w:type="textWrapping"/>
      </w:r>
    </w:p>
    <w:p w:rsidR="00000000" w:rsidDel="00000000" w:rsidP="00000000" w:rsidRDefault="00000000" w:rsidRPr="00000000" w14:paraId="00000029">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local ordinance, regulation, policy, condition, or practice that conflicts with this Act is preempted and shall not be enforced as applied to a Qualifying Project.</w:t>
        <w:br w:type="textWrapping"/>
      </w:r>
    </w:p>
    <w:p w:rsidR="00000000" w:rsidDel="00000000" w:rsidP="00000000" w:rsidRDefault="00000000" w:rsidRPr="00000000" w14:paraId="0000002A">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Local Authority may not require the establishment of a homeowners’ association (HOA) solely to oversee common areas, amenities, or private streets as a condition for lot development approval, except where necessary for stormwater management.</w:t>
      </w:r>
      <w:r w:rsidDel="00000000" w:rsidR="00000000" w:rsidRPr="00000000">
        <w:rPr>
          <w:rFonts w:ascii="Times New Roman" w:cs="Times New Roman" w:eastAsia="Times New Roman" w:hAnsi="Times New Roman"/>
          <w:i w:val="1"/>
          <w:iCs w:val="1"/>
          <w:sz w:val="24"/>
          <w:szCs w:val="24"/>
          <w:rtl w:val="0"/>
        </w:rPr>
        <w:t xml:space="preserve"> </w:t>
        <w:br w:type="textWrapping"/>
      </w:r>
    </w:p>
    <w:p w:rsidR="00000000" w:rsidDel="00000000" w:rsidP="00000000" w:rsidRDefault="00000000" w:rsidRPr="00000000" w14:paraId="0000002B">
      <w:pPr>
        <w:numPr>
          <w:ilvl w:val="0"/>
          <w:numId w:val="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in this Section prohibits a Local Authority from enforcing Generally Applicable building, fire, health, safety, stormwater, utility-connection, floodplain, or historic-preservation requirements that are necessary to protect public health or safety, provided those requirements are not applied in a manner that conflicts with this Act or physically or financially precludes a Qualifying Project.</w:t>
      </w:r>
    </w:p>
    <w:p w:rsidR="00000000" w:rsidDel="00000000" w:rsidP="00000000" w:rsidRDefault="00000000" w:rsidRPr="00000000" w14:paraId="0000002C">
      <w:pPr>
        <w:spacing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6. Development Standards</w:t>
      </w:r>
      <w:r w:rsidDel="00000000" w:rsidR="00000000" w:rsidRPr="00000000">
        <w:rPr>
          <w:rtl w:val="0"/>
        </w:rPr>
      </w:r>
    </w:p>
    <w:p w:rsidR="00000000" w:rsidDel="00000000" w:rsidP="00000000" w:rsidRDefault="00000000" w:rsidRPr="00000000" w14:paraId="0000002D">
      <w:pPr>
        <w:numPr>
          <w:ilvl w:val="0"/>
          <w:numId w:val="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For a Qualifying Project, a Local Authority shall not adopt, impose, or enforce building setback requirements that exceed the following limits:</w:t>
      </w:r>
    </w:p>
    <w:p w:rsidR="00000000" w:rsidDel="00000000" w:rsidP="00000000" w:rsidRDefault="00000000" w:rsidRPr="00000000" w14:paraId="0000002E">
      <w:pPr>
        <w:numPr>
          <w:ilvl w:val="1"/>
          <w:numId w:val="3"/>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Front setback. a maximum of 10 feet from the property line </w:t>
      </w:r>
    </w:p>
    <w:p w:rsidR="00000000" w:rsidDel="00000000" w:rsidP="00000000" w:rsidRDefault="00000000" w:rsidRPr="00000000" w14:paraId="0000002F">
      <w:pPr>
        <w:numPr>
          <w:ilvl w:val="1"/>
          <w:numId w:val="3"/>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Rear setback: a maximum of 4 feet from the property line; </w:t>
      </w:r>
    </w:p>
    <w:p w:rsidR="00000000" w:rsidDel="00000000" w:rsidP="00000000" w:rsidRDefault="00000000" w:rsidRPr="00000000" w14:paraId="00000030">
      <w:pPr>
        <w:numPr>
          <w:ilvl w:val="1"/>
          <w:numId w:val="3"/>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Exterior side setback: a maximum of 3 feet from a boundary of the Project Site;</w:t>
      </w:r>
    </w:p>
    <w:p w:rsidR="00000000" w:rsidDel="00000000" w:rsidP="00000000" w:rsidRDefault="00000000" w:rsidRPr="00000000" w14:paraId="00000031">
      <w:pPr>
        <w:numPr>
          <w:ilvl w:val="1"/>
          <w:numId w:val="3"/>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Interior side setback: zero feet from a lot line located within the Project Site. </w:t>
        <w:br w:type="textWrapping"/>
      </w:r>
    </w:p>
    <w:p w:rsidR="00000000" w:rsidDel="00000000" w:rsidP="00000000" w:rsidRDefault="00000000" w:rsidRPr="00000000" w14:paraId="00000032">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Local Authority shall allow the reduction or elimination of a side setback along a boundary shared with a separately owned parcel outside the Project Site where the owners of both adjoining parcels consent in writing, subject to applicable building and fire code requirements.</w:t>
        <w:br w:type="textWrapping"/>
      </w:r>
    </w:p>
    <w:p w:rsidR="00000000" w:rsidDel="00000000" w:rsidP="00000000" w:rsidRDefault="00000000" w:rsidRPr="00000000" w14:paraId="00000033">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Local Authority shall not require a setback between buildings within the same Qualifying Project except as required by applicable building and fire codes.</w:t>
        <w:br w:type="textWrapping"/>
      </w:r>
    </w:p>
    <w:p w:rsidR="00000000" w:rsidDel="00000000" w:rsidP="00000000" w:rsidRDefault="00000000" w:rsidRPr="00000000" w14:paraId="00000034">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Except as modified by this Act, a Qualifying Project remains subject to the Objective Standards that applied when the application was determined to be complete. A standard does not apply if it conflicts with this Act or physically or financially prevents the project from using the development rights established by this Act.</w:t>
        <w:br w:type="textWrapping"/>
      </w:r>
    </w:p>
    <w:p w:rsidR="00000000" w:rsidDel="00000000" w:rsidP="00000000" w:rsidRDefault="00000000" w:rsidRPr="00000000" w14:paraId="00000035">
      <w:pPr>
        <w:numPr>
          <w:ilvl w:val="0"/>
          <w:numId w:val="3"/>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this Act and a state or local law regulate the same development standard, the standard that allows greater residential development shall apply.</w:t>
      </w:r>
    </w:p>
    <w:p w:rsidR="00000000" w:rsidDel="00000000" w:rsidP="00000000" w:rsidRDefault="00000000" w:rsidRPr="00000000" w14:paraId="00000036">
      <w:pPr>
        <w:spacing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br w:type="textWrapping"/>
        <w:t xml:space="preserve">Section 7. Enforcement </w:t>
      </w:r>
      <w:r w:rsidDel="00000000" w:rsidR="00000000" w:rsidRPr="00000000">
        <w:rPr>
          <w:rtl w:val="0"/>
        </w:rPr>
      </w:r>
    </w:p>
    <w:p w:rsidR="00000000" w:rsidDel="00000000" w:rsidP="00000000" w:rsidRDefault="00000000" w:rsidRPr="00000000" w14:paraId="00000037">
      <w:pPr>
        <w:numPr>
          <w:ilvl w:val="0"/>
          <w:numId w:val="9"/>
        </w:numPr>
        <w:spacing w:after="0" w:afterAutospacing="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Local Authority shall not deny, condition, delay, or obstruct approval of a Qualifying Project on the basis of a requirement that conflicts with this Act.</w:t>
      </w:r>
    </w:p>
    <w:p w:rsidR="00000000" w:rsidDel="00000000" w:rsidP="00000000" w:rsidRDefault="00000000" w:rsidRPr="00000000" w14:paraId="00000038">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applicant or property owner aggrieved by a violation of this Act may bring an action in a court of competent jurisdiction to enforce this Act. If the applicant or property owner prevails, the court shall order the Local Authority to comply with this Act and shall award reasonable attorney’s fees and costs.</w:t>
      </w:r>
    </w:p>
    <w:p w:rsidR="00000000" w:rsidDel="00000000" w:rsidP="00000000" w:rsidRDefault="00000000" w:rsidRPr="00000000" w14:paraId="00000039">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state housing or land use agency designated by the Legislature, or the Attorney General if authorized by state law, may provide technical assistance and pursue any enforcement action authorized by state law to ensure compliance with this Act.</w:t>
      </w:r>
    </w:p>
    <w:p w:rsidR="00000000" w:rsidDel="00000000" w:rsidP="00000000" w:rsidRDefault="00000000" w:rsidRPr="00000000" w14:paraId="0000003A">
      <w:pPr>
        <w:numPr>
          <w:ilvl w:val="0"/>
          <w:numId w:val="9"/>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local implementing ordinance shall be required for this Act to apply. A Local Authority’s failure to adopt or amend an implementing ordinance shall not relieve it of its obligation to comply with this Act.</w:t>
        <w:br w:type="textWrapping"/>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8. Severability</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3C">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any provision of this Act or its application to any person or circumstance is held invalid, the invalidity does not affect other provisions or applications of the Act that can be given effect without the invalid provision or application, and to this end, the provisions of this Act are severable. It is the intent of the legislature that this Act would have been enacted even if such invalid provision or application had not been included.</w:t>
      </w:r>
    </w:p>
    <w:p w:rsidR="00000000" w:rsidDel="00000000" w:rsidP="00000000" w:rsidRDefault="00000000" w:rsidRPr="00000000" w14:paraId="0000003D">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9. Effective Date</w:t>
      </w:r>
    </w:p>
    <w:p w:rsidR="00000000" w:rsidDel="00000000" w:rsidP="00000000" w:rsidRDefault="00000000" w:rsidRPr="00000000" w14:paraId="0000003E">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 shall take effect on [date].</w:t>
      </w:r>
    </w:p>
    <w:p w:rsidR="00000000" w:rsidDel="00000000" w:rsidP="00000000" w:rsidRDefault="00000000" w:rsidRPr="00000000" w14:paraId="0000003F">
      <w:pPr>
        <w:ind w:left="0" w:firstLine="0"/>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Drafted by: Eduardo Mendoza</w:t>
    </w:r>
  </w:p>
  <w:p w:rsidR="00000000" w:rsidDel="00000000" w:rsidP="00000000" w:rsidRDefault="00000000" w:rsidRPr="00000000" w14:paraId="00000041">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ed.mendoza@metroabundance.org</w:t>
      <w:br w:type="textWrapping"/>
      <w:t xml:space="preserve">Updated July 23, 2026</w:t>
    </w:r>
  </w:p>
  <w:p w:rsidR="00000000" w:rsidDel="00000000" w:rsidP="00000000" w:rsidRDefault="00000000" w:rsidRPr="00000000" w14:paraId="00000042">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